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0B8B5" w14:textId="59C12743" w:rsidR="00514D4F" w:rsidRDefault="001A060A">
      <w:pPr>
        <w:rPr>
          <w:b/>
        </w:rPr>
      </w:pPr>
      <w:r w:rsidRPr="001A060A">
        <w:rPr>
          <w:b/>
        </w:rPr>
        <w:t>Arts and Science</w:t>
      </w:r>
      <w:r w:rsidR="009016D3">
        <w:rPr>
          <w:b/>
        </w:rPr>
        <w:t xml:space="preserve">s Distance Education </w:t>
      </w:r>
      <w:r w:rsidR="00814385">
        <w:rPr>
          <w:b/>
        </w:rPr>
        <w:t xml:space="preserve">Online Course </w:t>
      </w:r>
      <w:r w:rsidR="009016D3">
        <w:rPr>
          <w:b/>
        </w:rPr>
        <w:t xml:space="preserve">Component </w:t>
      </w:r>
      <w:r w:rsidR="00162F0E">
        <w:rPr>
          <w:b/>
        </w:rPr>
        <w:t>Technical Review</w:t>
      </w:r>
      <w:r w:rsidR="00162F0E" w:rsidRPr="001A060A">
        <w:rPr>
          <w:b/>
        </w:rPr>
        <w:t xml:space="preserve"> </w:t>
      </w:r>
      <w:r w:rsidRPr="001A060A">
        <w:rPr>
          <w:b/>
        </w:rPr>
        <w:t xml:space="preserve">Checklist </w:t>
      </w:r>
    </w:p>
    <w:p w14:paraId="1AA7DAAE" w14:textId="77777777" w:rsidR="00B13A36" w:rsidRDefault="00B13A36">
      <w:pPr>
        <w:rPr>
          <w:b/>
        </w:rPr>
      </w:pPr>
    </w:p>
    <w:p w14:paraId="49AAE8E5" w14:textId="3DC8E49D" w:rsidR="00DA4BAA" w:rsidRDefault="00B06056">
      <w:pPr>
        <w:rPr>
          <w:b/>
        </w:rPr>
      </w:pPr>
      <w:r>
        <w:rPr>
          <w:b/>
        </w:rPr>
        <w:t>Course:</w:t>
      </w:r>
      <w:r>
        <w:rPr>
          <w:b/>
        </w:rPr>
        <w:tab/>
        <w:t>Sociology 3597.01, World Problems in a Social Context</w:t>
      </w:r>
    </w:p>
    <w:p w14:paraId="68F29848" w14:textId="514F8725" w:rsidR="00B06056" w:rsidRDefault="00B06056">
      <w:pPr>
        <w:rPr>
          <w:b/>
        </w:rPr>
      </w:pPr>
      <w:r>
        <w:rPr>
          <w:b/>
        </w:rPr>
        <w:t>Instructor:</w:t>
      </w:r>
      <w:r>
        <w:rPr>
          <w:b/>
        </w:rPr>
        <w:tab/>
        <w:t xml:space="preserve">Shirley Palmer, </w:t>
      </w:r>
      <w:hyperlink r:id="rId9" w:history="1">
        <w:r w:rsidRPr="006D4373">
          <w:rPr>
            <w:rStyle w:val="Hyperlink"/>
            <w:b/>
          </w:rPr>
          <w:t>palmer.4@osu.edu</w:t>
        </w:r>
      </w:hyperlink>
    </w:p>
    <w:p w14:paraId="74354288" w14:textId="77777777" w:rsidR="00B55A55" w:rsidRPr="00B55A55" w:rsidRDefault="00C34FEC" w:rsidP="00B55A55">
      <w:r>
        <w:rPr>
          <w:b/>
        </w:rPr>
        <w:t>Summary</w:t>
      </w:r>
      <w:r w:rsidR="00B06056">
        <w:rPr>
          <w:b/>
        </w:rPr>
        <w:t>:</w:t>
      </w:r>
      <w:r w:rsidR="00B06056">
        <w:rPr>
          <w:b/>
        </w:rPr>
        <w:tab/>
      </w:r>
      <w:r w:rsidR="00A777B5" w:rsidRPr="00C34FEC">
        <w:t>This proposal is to c</w:t>
      </w:r>
      <w:r w:rsidR="00B06056" w:rsidRPr="00C34FEC">
        <w:t xml:space="preserve">onvert </w:t>
      </w:r>
      <w:r w:rsidR="00A777B5" w:rsidRPr="00C34FEC">
        <w:t xml:space="preserve">an </w:t>
      </w:r>
      <w:r w:rsidR="00B06056" w:rsidRPr="00C34FEC">
        <w:t xml:space="preserve">existing </w:t>
      </w:r>
      <w:r w:rsidR="00A777B5" w:rsidRPr="00C34FEC">
        <w:t xml:space="preserve">on-campus </w:t>
      </w:r>
      <w:r w:rsidR="00B06056" w:rsidRPr="00C34FEC">
        <w:t xml:space="preserve">course to </w:t>
      </w:r>
      <w:r w:rsidR="00A777B5" w:rsidRPr="00C34FEC">
        <w:t xml:space="preserve">a </w:t>
      </w:r>
      <w:r w:rsidR="00B06056" w:rsidRPr="00C34FEC">
        <w:t>hybrid/flipped course</w:t>
      </w:r>
      <w:r w:rsidR="00A777B5" w:rsidRPr="00C34FEC">
        <w:t xml:space="preserve">.  The faculty member is exploring audio/video delivery alternatives but will </w:t>
      </w:r>
      <w:r w:rsidRPr="00C34FEC">
        <w:t xml:space="preserve">definitely use Carmen as the course’s platform.  OSU’s streaming media services and/or iTunesU may be used to deliver audio/video content as well.  All assessments will be performed via Carmen.  Discussions will happen within </w:t>
      </w:r>
      <w:r>
        <w:t xml:space="preserve">Carmen and in </w:t>
      </w:r>
      <w:r w:rsidRPr="00C34FEC">
        <w:t>class during periodic class meetings on the Newark campus.</w:t>
      </w:r>
      <w:r w:rsidR="00B55A55">
        <w:t xml:space="preserve">  The professor has been in contact with ODEE and ASCTech for assistance in getting the distance components of the course designed and produced.  </w:t>
      </w:r>
      <w:r w:rsidR="00B55A55" w:rsidRPr="00B55A55">
        <w:t>The two groups will collaborate to help her get it produced in such a way that it is easy for her to maintain and update in the future.</w:t>
      </w:r>
    </w:p>
    <w:p w14:paraId="5EF7286F" w14:textId="694EB371" w:rsidR="00B06056" w:rsidRDefault="00B06056">
      <w:pPr>
        <w:rPr>
          <w:b/>
        </w:rPr>
      </w:pPr>
    </w:p>
    <w:p w14:paraId="754676DB" w14:textId="77777777" w:rsidR="00B06056" w:rsidRDefault="00B06056">
      <w:pPr>
        <w:rPr>
          <w:b/>
        </w:rPr>
      </w:pPr>
    </w:p>
    <w:p w14:paraId="19A2F937" w14:textId="70BC1516" w:rsidR="00DA4BAA" w:rsidRDefault="00DA4BAA">
      <w:pPr>
        <w:rPr>
          <w:b/>
        </w:rPr>
      </w:pPr>
      <w:r>
        <w:rPr>
          <w:b/>
        </w:rPr>
        <w:t>COURSE TECHNOLOGY</w:t>
      </w:r>
    </w:p>
    <w:p w14:paraId="31FA7020" w14:textId="77777777" w:rsidR="001A060A" w:rsidRDefault="001A060A" w:rsidP="001A060A"/>
    <w:tbl>
      <w:tblPr>
        <w:tblStyle w:val="TableGrid"/>
        <w:tblW w:w="17208" w:type="dxa"/>
        <w:tblLayout w:type="fixed"/>
        <w:tblLook w:val="04A0" w:firstRow="1" w:lastRow="0" w:firstColumn="1" w:lastColumn="0" w:noHBand="0" w:noVBand="1"/>
      </w:tblPr>
      <w:tblGrid>
        <w:gridCol w:w="4698"/>
        <w:gridCol w:w="1109"/>
        <w:gridCol w:w="1260"/>
        <w:gridCol w:w="1327"/>
        <w:gridCol w:w="8814"/>
      </w:tblGrid>
      <w:tr w:rsidR="001A060A" w14:paraId="12B26043" w14:textId="77777777" w:rsidTr="00162F0E">
        <w:tc>
          <w:tcPr>
            <w:tcW w:w="4698" w:type="dxa"/>
            <w:shd w:val="clear" w:color="auto" w:fill="CCCCCC"/>
          </w:tcPr>
          <w:p w14:paraId="6FAC59F5" w14:textId="77777777" w:rsidR="001A060A" w:rsidRPr="00162F0E" w:rsidRDefault="001A060A" w:rsidP="00162F0E">
            <w:pPr>
              <w:jc w:val="center"/>
              <w:rPr>
                <w:b/>
              </w:rPr>
            </w:pPr>
            <w:r w:rsidRPr="00162F0E">
              <w:rPr>
                <w:b/>
              </w:rPr>
              <w:t>Standard</w:t>
            </w:r>
          </w:p>
        </w:tc>
        <w:tc>
          <w:tcPr>
            <w:tcW w:w="1109" w:type="dxa"/>
            <w:shd w:val="clear" w:color="auto" w:fill="CCCCCC"/>
          </w:tcPr>
          <w:p w14:paraId="42040025" w14:textId="77777777" w:rsidR="001A060A" w:rsidRPr="001A060A" w:rsidRDefault="001A060A" w:rsidP="00B06056">
            <w:pPr>
              <w:jc w:val="center"/>
              <w:rPr>
                <w:b/>
              </w:rPr>
            </w:pPr>
            <w:r>
              <w:rPr>
                <w:b/>
              </w:rPr>
              <w:t>Yes</w:t>
            </w:r>
          </w:p>
        </w:tc>
        <w:tc>
          <w:tcPr>
            <w:tcW w:w="1260" w:type="dxa"/>
            <w:shd w:val="clear" w:color="auto" w:fill="CCCCCC"/>
          </w:tcPr>
          <w:p w14:paraId="2E8653E6" w14:textId="77777777" w:rsidR="001A060A" w:rsidRDefault="001A060A" w:rsidP="00B06056">
            <w:pPr>
              <w:jc w:val="center"/>
              <w:rPr>
                <w:b/>
              </w:rPr>
            </w:pPr>
            <w:r>
              <w:rPr>
                <w:b/>
              </w:rPr>
              <w:t>Yes</w:t>
            </w:r>
          </w:p>
          <w:p w14:paraId="724D6AD4" w14:textId="77777777" w:rsidR="001A060A" w:rsidRPr="001A060A" w:rsidRDefault="001A060A" w:rsidP="00B06056">
            <w:pPr>
              <w:jc w:val="center"/>
              <w:rPr>
                <w:b/>
              </w:rPr>
            </w:pPr>
            <w:r w:rsidRPr="00162F0E">
              <w:rPr>
                <w:b/>
                <w:sz w:val="22"/>
              </w:rPr>
              <w:t>with Revisions</w:t>
            </w:r>
          </w:p>
        </w:tc>
        <w:tc>
          <w:tcPr>
            <w:tcW w:w="1327" w:type="dxa"/>
            <w:shd w:val="clear" w:color="auto" w:fill="CCCCCC"/>
          </w:tcPr>
          <w:p w14:paraId="1F0843C6" w14:textId="07D8C451" w:rsidR="001A060A" w:rsidRDefault="001A060A" w:rsidP="00B06056">
            <w:pPr>
              <w:jc w:val="center"/>
              <w:rPr>
                <w:b/>
              </w:rPr>
            </w:pPr>
            <w:r>
              <w:rPr>
                <w:b/>
              </w:rPr>
              <w:t>No</w:t>
            </w:r>
          </w:p>
          <w:p w14:paraId="1B1CC70B" w14:textId="02F18DC7" w:rsidR="001A060A" w:rsidRPr="001A060A" w:rsidRDefault="001A060A" w:rsidP="00B06056">
            <w:pPr>
              <w:jc w:val="center"/>
              <w:rPr>
                <w:b/>
              </w:rPr>
            </w:pPr>
          </w:p>
        </w:tc>
        <w:tc>
          <w:tcPr>
            <w:tcW w:w="8814" w:type="dxa"/>
            <w:shd w:val="clear" w:color="auto" w:fill="CCCCCC"/>
          </w:tcPr>
          <w:p w14:paraId="3A0CA8BE" w14:textId="54BC7A28" w:rsidR="001A060A" w:rsidRPr="001A060A" w:rsidRDefault="001A060A" w:rsidP="00162F0E">
            <w:pPr>
              <w:jc w:val="center"/>
              <w:rPr>
                <w:b/>
              </w:rPr>
            </w:pPr>
            <w:r>
              <w:rPr>
                <w:b/>
              </w:rPr>
              <w:t>Feedback</w:t>
            </w:r>
            <w:r w:rsidR="008E2DAC">
              <w:rPr>
                <w:b/>
              </w:rPr>
              <w:t>/Recommendations</w:t>
            </w:r>
          </w:p>
        </w:tc>
      </w:tr>
      <w:tr w:rsidR="001A060A" w14:paraId="57B882F3" w14:textId="77777777" w:rsidTr="00162F0E">
        <w:tc>
          <w:tcPr>
            <w:tcW w:w="4698" w:type="dxa"/>
          </w:tcPr>
          <w:p w14:paraId="261D6CD8" w14:textId="42DB1978" w:rsidR="00A93AEF" w:rsidRPr="00162F0E" w:rsidRDefault="00A93AEF" w:rsidP="00162F0E">
            <w:pPr>
              <w:pStyle w:val="ListParagraph"/>
              <w:numPr>
                <w:ilvl w:val="0"/>
                <w:numId w:val="3"/>
              </w:numPr>
              <w:rPr>
                <w:sz w:val="20"/>
                <w:szCs w:val="20"/>
              </w:rPr>
            </w:pPr>
            <w:r w:rsidRPr="00162F0E">
              <w:rPr>
                <w:sz w:val="20"/>
                <w:szCs w:val="20"/>
              </w:rPr>
              <w:t>The tools and media support the course learning objectives.</w:t>
            </w:r>
          </w:p>
          <w:p w14:paraId="602398A5" w14:textId="77777777" w:rsidR="001A060A" w:rsidRDefault="001A060A" w:rsidP="001A060A"/>
        </w:tc>
        <w:tc>
          <w:tcPr>
            <w:tcW w:w="1109" w:type="dxa"/>
          </w:tcPr>
          <w:p w14:paraId="50A3D585" w14:textId="72958F30" w:rsidR="001A060A" w:rsidRPr="00B06056" w:rsidRDefault="00B06056" w:rsidP="00B06056">
            <w:pPr>
              <w:jc w:val="center"/>
              <w:rPr>
                <w:b/>
                <w:sz w:val="40"/>
                <w:szCs w:val="40"/>
              </w:rPr>
            </w:pPr>
            <w:r w:rsidRPr="00B06056">
              <w:rPr>
                <w:b/>
                <w:sz w:val="40"/>
                <w:szCs w:val="40"/>
              </w:rPr>
              <w:sym w:font="Wingdings" w:char="F0FC"/>
            </w:r>
          </w:p>
        </w:tc>
        <w:tc>
          <w:tcPr>
            <w:tcW w:w="1260" w:type="dxa"/>
          </w:tcPr>
          <w:p w14:paraId="38433884" w14:textId="77777777" w:rsidR="001A060A" w:rsidRPr="00B06056" w:rsidRDefault="001A060A" w:rsidP="00B06056">
            <w:pPr>
              <w:jc w:val="center"/>
              <w:rPr>
                <w:b/>
                <w:sz w:val="40"/>
                <w:szCs w:val="40"/>
              </w:rPr>
            </w:pPr>
          </w:p>
        </w:tc>
        <w:tc>
          <w:tcPr>
            <w:tcW w:w="1327" w:type="dxa"/>
          </w:tcPr>
          <w:p w14:paraId="05DBFAB2" w14:textId="77777777" w:rsidR="001A060A" w:rsidRPr="00B06056" w:rsidRDefault="001A060A" w:rsidP="00B06056">
            <w:pPr>
              <w:jc w:val="center"/>
              <w:rPr>
                <w:b/>
                <w:sz w:val="40"/>
                <w:szCs w:val="40"/>
              </w:rPr>
            </w:pPr>
          </w:p>
        </w:tc>
        <w:tc>
          <w:tcPr>
            <w:tcW w:w="8814" w:type="dxa"/>
          </w:tcPr>
          <w:p w14:paraId="632D30DD" w14:textId="2573348A" w:rsidR="001A060A" w:rsidRDefault="00B06056" w:rsidP="00B06056">
            <w:r>
              <w:t>Students will listen to lectures online, participate in discussions, and do readings associated with weekly themes and assignments.  On-line short answer/essay exams will assess learning.</w:t>
            </w:r>
          </w:p>
        </w:tc>
      </w:tr>
      <w:tr w:rsidR="001A060A" w14:paraId="4913EAAA" w14:textId="77777777" w:rsidTr="00162F0E">
        <w:tc>
          <w:tcPr>
            <w:tcW w:w="4698" w:type="dxa"/>
          </w:tcPr>
          <w:p w14:paraId="503AD787" w14:textId="77777777" w:rsidR="001A060A" w:rsidRDefault="00162F0E" w:rsidP="00162F0E">
            <w:pPr>
              <w:pStyle w:val="ListParagraph"/>
              <w:numPr>
                <w:ilvl w:val="0"/>
                <w:numId w:val="3"/>
              </w:numPr>
              <w:rPr>
                <w:sz w:val="20"/>
                <w:szCs w:val="20"/>
              </w:rPr>
            </w:pPr>
            <w:r>
              <w:rPr>
                <w:sz w:val="20"/>
                <w:szCs w:val="20"/>
              </w:rPr>
              <w:t>C</w:t>
            </w:r>
            <w:r w:rsidR="00E469B3" w:rsidRPr="00162F0E">
              <w:rPr>
                <w:sz w:val="20"/>
                <w:szCs w:val="20"/>
              </w:rPr>
              <w:t>ourse tools and media support student engagement and guide the student to become an active learner.</w:t>
            </w:r>
          </w:p>
          <w:p w14:paraId="5C8476FF" w14:textId="55DB7E6D" w:rsidR="00162F0E" w:rsidRPr="00162F0E" w:rsidRDefault="00162F0E" w:rsidP="00162F0E">
            <w:pPr>
              <w:pStyle w:val="ListParagraph"/>
              <w:rPr>
                <w:sz w:val="20"/>
                <w:szCs w:val="20"/>
              </w:rPr>
            </w:pPr>
          </w:p>
        </w:tc>
        <w:tc>
          <w:tcPr>
            <w:tcW w:w="1109" w:type="dxa"/>
          </w:tcPr>
          <w:p w14:paraId="60D602DB" w14:textId="39780494" w:rsidR="001A060A" w:rsidRPr="00B06056" w:rsidRDefault="00B06056" w:rsidP="00B06056">
            <w:pPr>
              <w:jc w:val="center"/>
              <w:rPr>
                <w:b/>
                <w:sz w:val="40"/>
                <w:szCs w:val="40"/>
              </w:rPr>
            </w:pPr>
            <w:r w:rsidRPr="00B06056">
              <w:rPr>
                <w:b/>
                <w:sz w:val="40"/>
                <w:szCs w:val="40"/>
              </w:rPr>
              <w:sym w:font="Wingdings" w:char="F0FC"/>
            </w:r>
          </w:p>
        </w:tc>
        <w:tc>
          <w:tcPr>
            <w:tcW w:w="1260" w:type="dxa"/>
          </w:tcPr>
          <w:p w14:paraId="0D386CD2" w14:textId="77777777" w:rsidR="001A060A" w:rsidRPr="00B06056" w:rsidRDefault="001A060A" w:rsidP="00B06056">
            <w:pPr>
              <w:jc w:val="center"/>
              <w:rPr>
                <w:b/>
                <w:sz w:val="40"/>
                <w:szCs w:val="40"/>
              </w:rPr>
            </w:pPr>
          </w:p>
        </w:tc>
        <w:tc>
          <w:tcPr>
            <w:tcW w:w="1327" w:type="dxa"/>
          </w:tcPr>
          <w:p w14:paraId="48B35EEC" w14:textId="77777777" w:rsidR="001A060A" w:rsidRPr="00B06056" w:rsidRDefault="001A060A" w:rsidP="00B06056">
            <w:pPr>
              <w:jc w:val="center"/>
              <w:rPr>
                <w:b/>
                <w:sz w:val="40"/>
                <w:szCs w:val="40"/>
              </w:rPr>
            </w:pPr>
          </w:p>
        </w:tc>
        <w:tc>
          <w:tcPr>
            <w:tcW w:w="8814" w:type="dxa"/>
          </w:tcPr>
          <w:p w14:paraId="244D6B23" w14:textId="2854EE82" w:rsidR="001A060A" w:rsidRDefault="00B06056" w:rsidP="00B06056">
            <w:r>
              <w:t>Students will engage via the course discussion board, online group discussions, phone/email interaction with the faculty member, and via periodic in-class discussions on the Newark campus.</w:t>
            </w:r>
          </w:p>
        </w:tc>
      </w:tr>
      <w:tr w:rsidR="001A060A" w14:paraId="1ABE7A8C" w14:textId="77777777" w:rsidTr="00162F0E">
        <w:tc>
          <w:tcPr>
            <w:tcW w:w="4698" w:type="dxa"/>
          </w:tcPr>
          <w:p w14:paraId="6649F546" w14:textId="3A534473" w:rsidR="00E469B3" w:rsidRPr="00162F0E" w:rsidRDefault="00E469B3" w:rsidP="00162F0E">
            <w:pPr>
              <w:pStyle w:val="ListParagraph"/>
              <w:numPr>
                <w:ilvl w:val="0"/>
                <w:numId w:val="3"/>
              </w:numPr>
              <w:rPr>
                <w:sz w:val="20"/>
                <w:szCs w:val="20"/>
              </w:rPr>
            </w:pPr>
            <w:r w:rsidRPr="00162F0E">
              <w:rPr>
                <w:sz w:val="20"/>
                <w:szCs w:val="20"/>
              </w:rPr>
              <w:t>Navigation throughout the online components of the course is logical, consistent, and efficient.</w:t>
            </w:r>
          </w:p>
          <w:p w14:paraId="1C1E6A81" w14:textId="77777777" w:rsidR="001A060A" w:rsidRDefault="001A060A" w:rsidP="001A060A"/>
        </w:tc>
        <w:tc>
          <w:tcPr>
            <w:tcW w:w="1109" w:type="dxa"/>
          </w:tcPr>
          <w:p w14:paraId="55E89C2C" w14:textId="4F2A17F9" w:rsidR="001A060A" w:rsidRPr="00B06056" w:rsidRDefault="00B06056" w:rsidP="00B06056">
            <w:pPr>
              <w:jc w:val="center"/>
              <w:rPr>
                <w:b/>
                <w:sz w:val="40"/>
                <w:szCs w:val="40"/>
              </w:rPr>
            </w:pPr>
            <w:r w:rsidRPr="00B06056">
              <w:rPr>
                <w:b/>
                <w:sz w:val="40"/>
                <w:szCs w:val="40"/>
              </w:rPr>
              <w:sym w:font="Wingdings" w:char="F0FC"/>
            </w:r>
          </w:p>
        </w:tc>
        <w:tc>
          <w:tcPr>
            <w:tcW w:w="1260" w:type="dxa"/>
          </w:tcPr>
          <w:p w14:paraId="57BC1E7F" w14:textId="77777777" w:rsidR="001A060A" w:rsidRPr="00B06056" w:rsidRDefault="001A060A" w:rsidP="00B06056">
            <w:pPr>
              <w:jc w:val="center"/>
              <w:rPr>
                <w:b/>
                <w:sz w:val="40"/>
                <w:szCs w:val="40"/>
              </w:rPr>
            </w:pPr>
          </w:p>
        </w:tc>
        <w:tc>
          <w:tcPr>
            <w:tcW w:w="1327" w:type="dxa"/>
          </w:tcPr>
          <w:p w14:paraId="66EAD828" w14:textId="77777777" w:rsidR="001A060A" w:rsidRPr="00B06056" w:rsidRDefault="001A060A" w:rsidP="00B06056">
            <w:pPr>
              <w:jc w:val="center"/>
              <w:rPr>
                <w:b/>
                <w:sz w:val="40"/>
                <w:szCs w:val="40"/>
              </w:rPr>
            </w:pPr>
          </w:p>
        </w:tc>
        <w:tc>
          <w:tcPr>
            <w:tcW w:w="8814" w:type="dxa"/>
          </w:tcPr>
          <w:p w14:paraId="5A73778E" w14:textId="1CE6975B" w:rsidR="001A060A" w:rsidRDefault="00B06056" w:rsidP="001A060A">
            <w:r>
              <w:t>The course materials are already organized following the syllabus on Carmen.</w:t>
            </w:r>
          </w:p>
        </w:tc>
      </w:tr>
      <w:tr w:rsidR="001A060A" w14:paraId="1AB95CFC" w14:textId="77777777" w:rsidTr="00162F0E">
        <w:tc>
          <w:tcPr>
            <w:tcW w:w="4698" w:type="dxa"/>
          </w:tcPr>
          <w:p w14:paraId="1EDB5BD4" w14:textId="6B97C815" w:rsidR="00E469B3" w:rsidRPr="00162F0E" w:rsidRDefault="00E469B3" w:rsidP="00162F0E">
            <w:pPr>
              <w:pStyle w:val="ListParagraph"/>
              <w:numPr>
                <w:ilvl w:val="0"/>
                <w:numId w:val="3"/>
              </w:numPr>
              <w:rPr>
                <w:sz w:val="20"/>
                <w:szCs w:val="20"/>
              </w:rPr>
            </w:pPr>
            <w:r w:rsidRPr="00162F0E">
              <w:rPr>
                <w:sz w:val="20"/>
                <w:szCs w:val="20"/>
              </w:rPr>
              <w:t>Students can readily access the technologies required in the course.</w:t>
            </w:r>
          </w:p>
          <w:p w14:paraId="18701F49" w14:textId="77777777" w:rsidR="001A060A" w:rsidRDefault="001A060A" w:rsidP="001A060A"/>
        </w:tc>
        <w:tc>
          <w:tcPr>
            <w:tcW w:w="1109" w:type="dxa"/>
          </w:tcPr>
          <w:p w14:paraId="206CDF81" w14:textId="074CB6F4" w:rsidR="001A060A" w:rsidRPr="00B06056" w:rsidRDefault="00B06056" w:rsidP="00B06056">
            <w:pPr>
              <w:jc w:val="center"/>
              <w:rPr>
                <w:b/>
                <w:sz w:val="40"/>
                <w:szCs w:val="40"/>
              </w:rPr>
            </w:pPr>
            <w:r w:rsidRPr="00B06056">
              <w:rPr>
                <w:b/>
                <w:sz w:val="40"/>
                <w:szCs w:val="40"/>
              </w:rPr>
              <w:sym w:font="Wingdings" w:char="F0FC"/>
            </w:r>
          </w:p>
        </w:tc>
        <w:tc>
          <w:tcPr>
            <w:tcW w:w="1260" w:type="dxa"/>
          </w:tcPr>
          <w:p w14:paraId="0BC7233F" w14:textId="77777777" w:rsidR="001A060A" w:rsidRPr="00B06056" w:rsidRDefault="001A060A" w:rsidP="00B06056">
            <w:pPr>
              <w:jc w:val="center"/>
              <w:rPr>
                <w:b/>
                <w:sz w:val="40"/>
                <w:szCs w:val="40"/>
              </w:rPr>
            </w:pPr>
          </w:p>
        </w:tc>
        <w:tc>
          <w:tcPr>
            <w:tcW w:w="1327" w:type="dxa"/>
          </w:tcPr>
          <w:p w14:paraId="719FD105" w14:textId="77777777" w:rsidR="001A060A" w:rsidRPr="00B06056" w:rsidRDefault="001A060A" w:rsidP="00B06056">
            <w:pPr>
              <w:jc w:val="center"/>
              <w:rPr>
                <w:b/>
                <w:sz w:val="40"/>
                <w:szCs w:val="40"/>
              </w:rPr>
            </w:pPr>
          </w:p>
        </w:tc>
        <w:tc>
          <w:tcPr>
            <w:tcW w:w="8814" w:type="dxa"/>
          </w:tcPr>
          <w:p w14:paraId="1B22A24E" w14:textId="01C7E53C" w:rsidR="001A060A" w:rsidRDefault="00356435" w:rsidP="001A060A">
            <w:r>
              <w:t>Carmen will be used.  iTunesU may be used which offers free accounts to students.  No special equipment or software is required apart from a computer or tablet.</w:t>
            </w:r>
          </w:p>
        </w:tc>
      </w:tr>
      <w:tr w:rsidR="00E469B3" w14:paraId="28EB51D0" w14:textId="77777777" w:rsidTr="00162F0E">
        <w:trPr>
          <w:trHeight w:val="230"/>
        </w:trPr>
        <w:tc>
          <w:tcPr>
            <w:tcW w:w="4698" w:type="dxa"/>
          </w:tcPr>
          <w:p w14:paraId="33D43967" w14:textId="3BF6FF98" w:rsidR="00E469B3" w:rsidRPr="00162F0E" w:rsidRDefault="00E469B3" w:rsidP="00162F0E">
            <w:pPr>
              <w:pStyle w:val="ListParagraph"/>
              <w:numPr>
                <w:ilvl w:val="0"/>
                <w:numId w:val="3"/>
              </w:numPr>
              <w:rPr>
                <w:sz w:val="20"/>
                <w:szCs w:val="20"/>
              </w:rPr>
            </w:pPr>
            <w:r w:rsidRPr="00162F0E">
              <w:rPr>
                <w:sz w:val="20"/>
                <w:szCs w:val="20"/>
              </w:rPr>
              <w:t>The course technologies are current.</w:t>
            </w:r>
          </w:p>
          <w:p w14:paraId="5430F06F" w14:textId="24F6C4A8" w:rsidR="00E469B3" w:rsidRDefault="00E469B3" w:rsidP="001A060A"/>
        </w:tc>
        <w:tc>
          <w:tcPr>
            <w:tcW w:w="1109" w:type="dxa"/>
          </w:tcPr>
          <w:p w14:paraId="7484B7B3" w14:textId="6E53F2B6" w:rsidR="00E469B3" w:rsidRPr="00B06056" w:rsidRDefault="00356435" w:rsidP="00B06056">
            <w:pPr>
              <w:jc w:val="center"/>
              <w:rPr>
                <w:b/>
                <w:sz w:val="40"/>
                <w:szCs w:val="40"/>
              </w:rPr>
            </w:pPr>
            <w:r w:rsidRPr="00B06056">
              <w:rPr>
                <w:b/>
                <w:sz w:val="40"/>
                <w:szCs w:val="40"/>
              </w:rPr>
              <w:sym w:font="Wingdings" w:char="F0FC"/>
            </w:r>
          </w:p>
        </w:tc>
        <w:tc>
          <w:tcPr>
            <w:tcW w:w="1260" w:type="dxa"/>
          </w:tcPr>
          <w:p w14:paraId="22884504" w14:textId="77777777" w:rsidR="00E469B3" w:rsidRPr="00B06056" w:rsidRDefault="00E469B3" w:rsidP="00B06056">
            <w:pPr>
              <w:jc w:val="center"/>
              <w:rPr>
                <w:b/>
                <w:sz w:val="40"/>
                <w:szCs w:val="40"/>
              </w:rPr>
            </w:pPr>
          </w:p>
        </w:tc>
        <w:tc>
          <w:tcPr>
            <w:tcW w:w="1327" w:type="dxa"/>
          </w:tcPr>
          <w:p w14:paraId="60CC6F03" w14:textId="77777777" w:rsidR="00E469B3" w:rsidRPr="00B06056" w:rsidRDefault="00E469B3" w:rsidP="00B06056">
            <w:pPr>
              <w:jc w:val="center"/>
              <w:rPr>
                <w:b/>
                <w:sz w:val="40"/>
                <w:szCs w:val="40"/>
              </w:rPr>
            </w:pPr>
          </w:p>
        </w:tc>
        <w:tc>
          <w:tcPr>
            <w:tcW w:w="8814" w:type="dxa"/>
          </w:tcPr>
          <w:p w14:paraId="1DCBA7A6" w14:textId="6CB1E378" w:rsidR="00E469B3" w:rsidRDefault="00356435" w:rsidP="001A060A">
            <w:r>
              <w:t>Yes</w:t>
            </w:r>
          </w:p>
        </w:tc>
      </w:tr>
      <w:tr w:rsidR="00E469B3" w14:paraId="7A281AE4" w14:textId="77777777" w:rsidTr="00162F0E">
        <w:trPr>
          <w:trHeight w:val="230"/>
        </w:trPr>
        <w:tc>
          <w:tcPr>
            <w:tcW w:w="4698" w:type="dxa"/>
          </w:tcPr>
          <w:p w14:paraId="237E000A" w14:textId="0C66DEC1" w:rsidR="00E469B3" w:rsidRPr="00162F0E" w:rsidRDefault="00E469B3" w:rsidP="00162F0E">
            <w:pPr>
              <w:pStyle w:val="ListParagraph"/>
              <w:numPr>
                <w:ilvl w:val="0"/>
                <w:numId w:val="3"/>
              </w:numPr>
              <w:rPr>
                <w:rFonts w:cs="Calibri"/>
                <w:sz w:val="20"/>
                <w:szCs w:val="20"/>
              </w:rPr>
            </w:pPr>
            <w:r w:rsidRPr="00162F0E">
              <w:rPr>
                <w:rFonts w:cs="Calibri"/>
                <w:sz w:val="20"/>
                <w:szCs w:val="20"/>
              </w:rPr>
              <w:lastRenderedPageBreak/>
              <w:t>Funding and support for the course technologies are sustainable for future sections of the course.</w:t>
            </w:r>
          </w:p>
          <w:p w14:paraId="4790C06F" w14:textId="0CD35C06" w:rsidR="00E469B3" w:rsidRPr="00FB0A37" w:rsidRDefault="00E469B3" w:rsidP="001A060A">
            <w:pPr>
              <w:rPr>
                <w:sz w:val="20"/>
                <w:szCs w:val="20"/>
              </w:rPr>
            </w:pPr>
          </w:p>
        </w:tc>
        <w:tc>
          <w:tcPr>
            <w:tcW w:w="1109" w:type="dxa"/>
          </w:tcPr>
          <w:p w14:paraId="17334B60" w14:textId="77777777" w:rsidR="00E469B3" w:rsidRPr="00B06056" w:rsidRDefault="00E469B3" w:rsidP="00B06056">
            <w:pPr>
              <w:jc w:val="center"/>
              <w:rPr>
                <w:b/>
                <w:sz w:val="40"/>
                <w:szCs w:val="40"/>
              </w:rPr>
            </w:pPr>
          </w:p>
        </w:tc>
        <w:tc>
          <w:tcPr>
            <w:tcW w:w="1260" w:type="dxa"/>
          </w:tcPr>
          <w:p w14:paraId="25DF6EAE" w14:textId="25931C2A" w:rsidR="00E469B3" w:rsidRPr="00B06056" w:rsidRDefault="00356435" w:rsidP="00B06056">
            <w:pPr>
              <w:jc w:val="center"/>
              <w:rPr>
                <w:b/>
                <w:sz w:val="40"/>
                <w:szCs w:val="40"/>
              </w:rPr>
            </w:pPr>
            <w:r w:rsidRPr="00B06056">
              <w:rPr>
                <w:b/>
                <w:sz w:val="40"/>
                <w:szCs w:val="40"/>
              </w:rPr>
              <w:sym w:font="Wingdings" w:char="F0FC"/>
            </w:r>
          </w:p>
        </w:tc>
        <w:tc>
          <w:tcPr>
            <w:tcW w:w="1327" w:type="dxa"/>
          </w:tcPr>
          <w:p w14:paraId="07A5C3A9" w14:textId="77777777" w:rsidR="00E469B3" w:rsidRPr="00B06056" w:rsidRDefault="00E469B3" w:rsidP="00B06056">
            <w:pPr>
              <w:jc w:val="center"/>
              <w:rPr>
                <w:b/>
                <w:sz w:val="40"/>
                <w:szCs w:val="40"/>
              </w:rPr>
            </w:pPr>
          </w:p>
        </w:tc>
        <w:tc>
          <w:tcPr>
            <w:tcW w:w="8814" w:type="dxa"/>
          </w:tcPr>
          <w:p w14:paraId="4F8C4A45" w14:textId="77777777" w:rsidR="00E469B3" w:rsidRDefault="00356435" w:rsidP="001A060A">
            <w:r>
              <w:t>Captioning may be required for the audio/video portions of the course.  OSU’s Office of Disability Services charges $50/hr. for captioning. It is unclear how this cost would be covered.  The course content is updated each time the course is taught; new videos would need to be re-captioned.</w:t>
            </w:r>
          </w:p>
          <w:p w14:paraId="213C4330" w14:textId="77777777" w:rsidR="00356435" w:rsidRDefault="00356435" w:rsidP="001A060A"/>
          <w:p w14:paraId="1FEA55C4" w14:textId="77777777" w:rsidR="00356435" w:rsidRDefault="00356435" w:rsidP="001A060A">
            <w:r>
              <w:t xml:space="preserve">The faculty member is willing/interested in learning how to produce the course content on her own.  She will update audio/video portions in the future.  </w:t>
            </w:r>
          </w:p>
          <w:p w14:paraId="7BE9050F" w14:textId="77777777" w:rsidR="00356435" w:rsidRDefault="00356435" w:rsidP="001A060A"/>
          <w:p w14:paraId="7D4FD194" w14:textId="35740DE1" w:rsidR="00356435" w:rsidRDefault="00356435" w:rsidP="001A060A">
            <w:r>
              <w:t>This course uses standard OSU platforms for delivery.</w:t>
            </w:r>
          </w:p>
        </w:tc>
      </w:tr>
      <w:tr w:rsidR="00162F0E" w14:paraId="7C24A320" w14:textId="77777777" w:rsidTr="00162F0E">
        <w:tc>
          <w:tcPr>
            <w:tcW w:w="4698" w:type="dxa"/>
          </w:tcPr>
          <w:p w14:paraId="2492EF59" w14:textId="40C2DEEA" w:rsidR="00162F0E" w:rsidRDefault="00162F0E" w:rsidP="00162F0E">
            <w:pPr>
              <w:pStyle w:val="ListParagraph"/>
              <w:numPr>
                <w:ilvl w:val="0"/>
                <w:numId w:val="3"/>
              </w:numPr>
              <w:rPr>
                <w:sz w:val="20"/>
                <w:szCs w:val="20"/>
              </w:rPr>
            </w:pPr>
            <w:r>
              <w:rPr>
                <w:sz w:val="20"/>
                <w:szCs w:val="20"/>
              </w:rPr>
              <w:t>The course technologies, tools and media will be evaluated and updated as underlying technologies, platforms and approaches change.</w:t>
            </w:r>
          </w:p>
          <w:p w14:paraId="6B14FD01" w14:textId="77777777" w:rsidR="00162F0E" w:rsidRPr="00162F0E" w:rsidRDefault="00162F0E" w:rsidP="00162F0E">
            <w:pPr>
              <w:pStyle w:val="ListParagraph"/>
              <w:rPr>
                <w:sz w:val="20"/>
                <w:szCs w:val="20"/>
              </w:rPr>
            </w:pPr>
          </w:p>
        </w:tc>
        <w:tc>
          <w:tcPr>
            <w:tcW w:w="1109" w:type="dxa"/>
          </w:tcPr>
          <w:p w14:paraId="1F3AFAAA" w14:textId="46769DB0" w:rsidR="00162F0E" w:rsidRPr="00B06056" w:rsidRDefault="00356435" w:rsidP="00B06056">
            <w:pPr>
              <w:jc w:val="center"/>
              <w:rPr>
                <w:b/>
                <w:sz w:val="40"/>
                <w:szCs w:val="40"/>
              </w:rPr>
            </w:pPr>
            <w:r w:rsidRPr="00B06056">
              <w:rPr>
                <w:b/>
                <w:sz w:val="40"/>
                <w:szCs w:val="40"/>
              </w:rPr>
              <w:sym w:font="Wingdings" w:char="F0FC"/>
            </w:r>
          </w:p>
        </w:tc>
        <w:tc>
          <w:tcPr>
            <w:tcW w:w="1260" w:type="dxa"/>
          </w:tcPr>
          <w:p w14:paraId="34AF036E" w14:textId="77777777" w:rsidR="00162F0E" w:rsidRPr="00B06056" w:rsidRDefault="00162F0E" w:rsidP="00B06056">
            <w:pPr>
              <w:jc w:val="center"/>
              <w:rPr>
                <w:b/>
                <w:sz w:val="40"/>
                <w:szCs w:val="40"/>
              </w:rPr>
            </w:pPr>
          </w:p>
        </w:tc>
        <w:tc>
          <w:tcPr>
            <w:tcW w:w="1327" w:type="dxa"/>
          </w:tcPr>
          <w:p w14:paraId="39236B3A" w14:textId="77777777" w:rsidR="00162F0E" w:rsidRPr="00B06056" w:rsidRDefault="00162F0E" w:rsidP="00B06056">
            <w:pPr>
              <w:jc w:val="center"/>
              <w:rPr>
                <w:b/>
                <w:sz w:val="40"/>
                <w:szCs w:val="40"/>
              </w:rPr>
            </w:pPr>
          </w:p>
        </w:tc>
        <w:tc>
          <w:tcPr>
            <w:tcW w:w="8814" w:type="dxa"/>
          </w:tcPr>
          <w:p w14:paraId="1ED568DD" w14:textId="11E9F763" w:rsidR="00162F0E" w:rsidRDefault="00356435" w:rsidP="00B13A36">
            <w:r>
              <w:t>The faculty member will survey the students on the course’s technology.  The course will be updated each time the course is taught.</w:t>
            </w:r>
          </w:p>
        </w:tc>
      </w:tr>
      <w:tr w:rsidR="00AA0E2A" w14:paraId="0D55C510" w14:textId="77777777" w:rsidTr="00162F0E">
        <w:tc>
          <w:tcPr>
            <w:tcW w:w="4698" w:type="dxa"/>
          </w:tcPr>
          <w:p w14:paraId="76C99F28" w14:textId="76AC0D5A" w:rsidR="00AA0E2A" w:rsidRPr="00162F0E" w:rsidRDefault="00AA0E2A" w:rsidP="00162F0E">
            <w:pPr>
              <w:pStyle w:val="ListParagraph"/>
              <w:numPr>
                <w:ilvl w:val="0"/>
                <w:numId w:val="3"/>
              </w:numPr>
              <w:rPr>
                <w:sz w:val="20"/>
                <w:szCs w:val="20"/>
              </w:rPr>
            </w:pPr>
            <w:r w:rsidRPr="00162F0E">
              <w:rPr>
                <w:sz w:val="20"/>
                <w:szCs w:val="20"/>
              </w:rPr>
              <w:t>The course instructions articulate or link to a clear description of the technical support offered and how to access it.</w:t>
            </w:r>
          </w:p>
          <w:p w14:paraId="2FEBC75B" w14:textId="77777777" w:rsidR="00AA0E2A" w:rsidRDefault="00AA0E2A" w:rsidP="00B13A36"/>
        </w:tc>
        <w:tc>
          <w:tcPr>
            <w:tcW w:w="1109" w:type="dxa"/>
          </w:tcPr>
          <w:p w14:paraId="034BB16C" w14:textId="77777777" w:rsidR="00AA0E2A" w:rsidRPr="00B06056" w:rsidRDefault="00AA0E2A" w:rsidP="00B06056">
            <w:pPr>
              <w:jc w:val="center"/>
              <w:rPr>
                <w:b/>
                <w:sz w:val="40"/>
                <w:szCs w:val="40"/>
              </w:rPr>
            </w:pPr>
          </w:p>
        </w:tc>
        <w:tc>
          <w:tcPr>
            <w:tcW w:w="1260" w:type="dxa"/>
          </w:tcPr>
          <w:p w14:paraId="09E23B07" w14:textId="46D515F3" w:rsidR="00AA0E2A" w:rsidRPr="00B06056" w:rsidRDefault="00356435" w:rsidP="00B06056">
            <w:pPr>
              <w:jc w:val="center"/>
              <w:rPr>
                <w:b/>
                <w:sz w:val="40"/>
                <w:szCs w:val="40"/>
              </w:rPr>
            </w:pPr>
            <w:r w:rsidRPr="00B06056">
              <w:rPr>
                <w:b/>
                <w:sz w:val="40"/>
                <w:szCs w:val="40"/>
              </w:rPr>
              <w:sym w:font="Wingdings" w:char="F0FC"/>
            </w:r>
          </w:p>
        </w:tc>
        <w:tc>
          <w:tcPr>
            <w:tcW w:w="1327" w:type="dxa"/>
          </w:tcPr>
          <w:p w14:paraId="46FF3743" w14:textId="77777777" w:rsidR="00AA0E2A" w:rsidRPr="00B06056" w:rsidRDefault="00AA0E2A" w:rsidP="00B06056">
            <w:pPr>
              <w:jc w:val="center"/>
              <w:rPr>
                <w:b/>
                <w:sz w:val="40"/>
                <w:szCs w:val="40"/>
              </w:rPr>
            </w:pPr>
          </w:p>
        </w:tc>
        <w:tc>
          <w:tcPr>
            <w:tcW w:w="8814" w:type="dxa"/>
          </w:tcPr>
          <w:p w14:paraId="47F7ED41" w14:textId="39C5F3C7" w:rsidR="00AA0E2A" w:rsidRDefault="00356435" w:rsidP="00B13A36">
            <w:r>
              <w:t>The faculty member will add an overview and instructions on how to reach the class site/materials to the syllabus.</w:t>
            </w:r>
          </w:p>
        </w:tc>
      </w:tr>
      <w:tr w:rsidR="00AA0E2A" w14:paraId="44D4EEDE" w14:textId="77777777" w:rsidTr="00162F0E">
        <w:tc>
          <w:tcPr>
            <w:tcW w:w="4698" w:type="dxa"/>
          </w:tcPr>
          <w:p w14:paraId="2E75A040" w14:textId="6E6626F6" w:rsidR="00AA0E2A" w:rsidRPr="00162F0E" w:rsidRDefault="00AA0E2A" w:rsidP="00162F0E">
            <w:pPr>
              <w:pStyle w:val="ListParagraph"/>
              <w:numPr>
                <w:ilvl w:val="0"/>
                <w:numId w:val="3"/>
              </w:numPr>
              <w:rPr>
                <w:sz w:val="20"/>
                <w:szCs w:val="20"/>
              </w:rPr>
            </w:pPr>
            <w:r w:rsidRPr="00162F0E">
              <w:rPr>
                <w:sz w:val="20"/>
                <w:szCs w:val="20"/>
              </w:rPr>
              <w:t>Course instructions articulate or link to the institution’s accessibility policies and services.</w:t>
            </w:r>
          </w:p>
          <w:p w14:paraId="71917BE2" w14:textId="77777777" w:rsidR="00AA0E2A" w:rsidRPr="00E469B3" w:rsidRDefault="00AA0E2A" w:rsidP="00B13A36">
            <w:pPr>
              <w:rPr>
                <w:sz w:val="20"/>
                <w:szCs w:val="20"/>
              </w:rPr>
            </w:pPr>
          </w:p>
        </w:tc>
        <w:tc>
          <w:tcPr>
            <w:tcW w:w="1109" w:type="dxa"/>
          </w:tcPr>
          <w:p w14:paraId="754A75A0" w14:textId="5446539A" w:rsidR="00AA0E2A" w:rsidRPr="00B06056" w:rsidRDefault="00356435" w:rsidP="00B06056">
            <w:pPr>
              <w:jc w:val="center"/>
              <w:rPr>
                <w:b/>
                <w:sz w:val="40"/>
                <w:szCs w:val="40"/>
              </w:rPr>
            </w:pPr>
            <w:r w:rsidRPr="00B06056">
              <w:rPr>
                <w:b/>
                <w:sz w:val="40"/>
                <w:szCs w:val="40"/>
              </w:rPr>
              <w:sym w:font="Wingdings" w:char="F0FC"/>
            </w:r>
          </w:p>
        </w:tc>
        <w:tc>
          <w:tcPr>
            <w:tcW w:w="1260" w:type="dxa"/>
          </w:tcPr>
          <w:p w14:paraId="448F63F3" w14:textId="77777777" w:rsidR="00AA0E2A" w:rsidRPr="00B06056" w:rsidRDefault="00AA0E2A" w:rsidP="00B06056">
            <w:pPr>
              <w:jc w:val="center"/>
              <w:rPr>
                <w:b/>
                <w:sz w:val="40"/>
                <w:szCs w:val="40"/>
              </w:rPr>
            </w:pPr>
          </w:p>
        </w:tc>
        <w:tc>
          <w:tcPr>
            <w:tcW w:w="1327" w:type="dxa"/>
          </w:tcPr>
          <w:p w14:paraId="4BFA3F9D" w14:textId="77777777" w:rsidR="00AA0E2A" w:rsidRPr="00B06056" w:rsidRDefault="00AA0E2A" w:rsidP="00B06056">
            <w:pPr>
              <w:jc w:val="center"/>
              <w:rPr>
                <w:b/>
                <w:sz w:val="40"/>
                <w:szCs w:val="40"/>
              </w:rPr>
            </w:pPr>
          </w:p>
        </w:tc>
        <w:tc>
          <w:tcPr>
            <w:tcW w:w="8814" w:type="dxa"/>
          </w:tcPr>
          <w:p w14:paraId="5A6737CF" w14:textId="77777777" w:rsidR="00AA0E2A" w:rsidRDefault="00AA0E2A" w:rsidP="00B13A36"/>
        </w:tc>
      </w:tr>
      <w:tr w:rsidR="00AA0E2A" w14:paraId="50B4EED9" w14:textId="77777777" w:rsidTr="00162F0E">
        <w:tc>
          <w:tcPr>
            <w:tcW w:w="4698" w:type="dxa"/>
          </w:tcPr>
          <w:p w14:paraId="37DC9F5A" w14:textId="5507F4F1" w:rsidR="00AA0E2A" w:rsidRPr="00162F0E" w:rsidRDefault="00AA0E2A" w:rsidP="00162F0E">
            <w:pPr>
              <w:pStyle w:val="ListParagraph"/>
              <w:numPr>
                <w:ilvl w:val="0"/>
                <w:numId w:val="3"/>
              </w:numPr>
              <w:rPr>
                <w:sz w:val="20"/>
                <w:szCs w:val="20"/>
              </w:rPr>
            </w:pPr>
            <w:r w:rsidRPr="00162F0E">
              <w:rPr>
                <w:sz w:val="20"/>
                <w:szCs w:val="20"/>
              </w:rPr>
              <w:t>Course instructions articulate or link to an explanation of how the institution’s academic support services and resources can help students succeed in the course and how students can access the services.</w:t>
            </w:r>
          </w:p>
          <w:p w14:paraId="25DA1E55" w14:textId="77777777" w:rsidR="00AA0E2A" w:rsidRDefault="00AA0E2A" w:rsidP="00B13A36"/>
        </w:tc>
        <w:tc>
          <w:tcPr>
            <w:tcW w:w="1109" w:type="dxa"/>
          </w:tcPr>
          <w:p w14:paraId="3BCA662A" w14:textId="77777777" w:rsidR="00AA0E2A" w:rsidRPr="00B06056" w:rsidRDefault="00AA0E2A" w:rsidP="00B06056">
            <w:pPr>
              <w:jc w:val="center"/>
              <w:rPr>
                <w:b/>
                <w:sz w:val="40"/>
                <w:szCs w:val="40"/>
              </w:rPr>
            </w:pPr>
          </w:p>
        </w:tc>
        <w:tc>
          <w:tcPr>
            <w:tcW w:w="1260" w:type="dxa"/>
          </w:tcPr>
          <w:p w14:paraId="5EBE3771" w14:textId="29020F9E" w:rsidR="00AA0E2A" w:rsidRPr="00B06056" w:rsidRDefault="00356435" w:rsidP="00B06056">
            <w:pPr>
              <w:jc w:val="center"/>
              <w:rPr>
                <w:b/>
                <w:sz w:val="40"/>
                <w:szCs w:val="40"/>
              </w:rPr>
            </w:pPr>
            <w:r w:rsidRPr="00B06056">
              <w:rPr>
                <w:b/>
                <w:sz w:val="40"/>
                <w:szCs w:val="40"/>
              </w:rPr>
              <w:sym w:font="Wingdings" w:char="F0FC"/>
            </w:r>
          </w:p>
        </w:tc>
        <w:tc>
          <w:tcPr>
            <w:tcW w:w="1327" w:type="dxa"/>
          </w:tcPr>
          <w:p w14:paraId="4261D041" w14:textId="77777777" w:rsidR="00AA0E2A" w:rsidRPr="00B06056" w:rsidRDefault="00AA0E2A" w:rsidP="00B06056">
            <w:pPr>
              <w:jc w:val="center"/>
              <w:rPr>
                <w:b/>
                <w:sz w:val="40"/>
                <w:szCs w:val="40"/>
              </w:rPr>
            </w:pPr>
          </w:p>
        </w:tc>
        <w:tc>
          <w:tcPr>
            <w:tcW w:w="8814" w:type="dxa"/>
          </w:tcPr>
          <w:p w14:paraId="3D7F1E29" w14:textId="6800F42D" w:rsidR="00AA0E2A" w:rsidRDefault="00356435" w:rsidP="00356435">
            <w:r>
              <w:t>The faculty member will add an overview of and contact information for the student services center at the Newark campus to the syllabus.</w:t>
            </w:r>
          </w:p>
        </w:tc>
      </w:tr>
      <w:tr w:rsidR="00343F30" w14:paraId="14F37376" w14:textId="77777777" w:rsidTr="00162F0E">
        <w:tc>
          <w:tcPr>
            <w:tcW w:w="4698" w:type="dxa"/>
          </w:tcPr>
          <w:p w14:paraId="483BE082" w14:textId="47567A82" w:rsidR="00343F30" w:rsidRPr="00162F0E" w:rsidRDefault="00343F30" w:rsidP="00162F0E">
            <w:pPr>
              <w:pStyle w:val="ListParagraph"/>
              <w:numPr>
                <w:ilvl w:val="0"/>
                <w:numId w:val="3"/>
              </w:numPr>
              <w:rPr>
                <w:sz w:val="20"/>
                <w:szCs w:val="20"/>
              </w:rPr>
            </w:pPr>
            <w:r w:rsidRPr="00162F0E">
              <w:rPr>
                <w:sz w:val="20"/>
                <w:szCs w:val="20"/>
              </w:rPr>
              <w:t>Course instructions articulate or link to an explanation of how the institution’s student support services can help students succeed and how students can access these services.</w:t>
            </w:r>
            <w:r w:rsidRPr="00162F0E">
              <w:rPr>
                <w:sz w:val="20"/>
                <w:szCs w:val="20"/>
              </w:rPr>
              <w:br/>
            </w:r>
          </w:p>
        </w:tc>
        <w:tc>
          <w:tcPr>
            <w:tcW w:w="1109" w:type="dxa"/>
          </w:tcPr>
          <w:p w14:paraId="3C20C7B9" w14:textId="77777777" w:rsidR="00343F30" w:rsidRPr="00B06056" w:rsidRDefault="00343F30" w:rsidP="00B06056">
            <w:pPr>
              <w:jc w:val="center"/>
              <w:rPr>
                <w:b/>
                <w:sz w:val="40"/>
                <w:szCs w:val="40"/>
              </w:rPr>
            </w:pPr>
          </w:p>
        </w:tc>
        <w:tc>
          <w:tcPr>
            <w:tcW w:w="1260" w:type="dxa"/>
          </w:tcPr>
          <w:p w14:paraId="509ADEA5" w14:textId="2EDB937D" w:rsidR="00343F30" w:rsidRPr="00B06056" w:rsidRDefault="00343F30" w:rsidP="00B06056">
            <w:pPr>
              <w:jc w:val="center"/>
              <w:rPr>
                <w:b/>
                <w:sz w:val="40"/>
                <w:szCs w:val="40"/>
              </w:rPr>
            </w:pPr>
            <w:r w:rsidRPr="00B06056">
              <w:rPr>
                <w:b/>
                <w:sz w:val="40"/>
                <w:szCs w:val="40"/>
              </w:rPr>
              <w:sym w:font="Wingdings" w:char="F0FC"/>
            </w:r>
          </w:p>
        </w:tc>
        <w:tc>
          <w:tcPr>
            <w:tcW w:w="1327" w:type="dxa"/>
          </w:tcPr>
          <w:p w14:paraId="605C42FF" w14:textId="77777777" w:rsidR="00343F30" w:rsidRPr="00B06056" w:rsidRDefault="00343F30" w:rsidP="00B06056">
            <w:pPr>
              <w:jc w:val="center"/>
              <w:rPr>
                <w:b/>
                <w:sz w:val="40"/>
                <w:szCs w:val="40"/>
              </w:rPr>
            </w:pPr>
          </w:p>
        </w:tc>
        <w:tc>
          <w:tcPr>
            <w:tcW w:w="8814" w:type="dxa"/>
          </w:tcPr>
          <w:p w14:paraId="4E830F6C" w14:textId="758F8C9E" w:rsidR="00343F30" w:rsidRDefault="00343F30" w:rsidP="00B13A36">
            <w:r>
              <w:t>The faculty member will add an overview of and contact information for the student services center at the Newark campus to the syllabus.</w:t>
            </w:r>
          </w:p>
        </w:tc>
      </w:tr>
    </w:tbl>
    <w:p w14:paraId="309578AA" w14:textId="77777777" w:rsidR="00AA0E2A" w:rsidRDefault="00AA0E2A" w:rsidP="001A060A"/>
    <w:p w14:paraId="68A48471" w14:textId="77777777" w:rsidR="002E521A" w:rsidRDefault="002E521A" w:rsidP="001A060A"/>
    <w:p w14:paraId="003E2FBB" w14:textId="74AA4C72" w:rsidR="002E521A" w:rsidRDefault="002E521A" w:rsidP="002E521A">
      <w:pPr>
        <w:rPr>
          <w:b/>
        </w:rPr>
      </w:pPr>
      <w:r>
        <w:rPr>
          <w:b/>
        </w:rPr>
        <w:t>Reviewer Information</w:t>
      </w:r>
      <w:r w:rsidRPr="00771C7C">
        <w:rPr>
          <w:b/>
        </w:rPr>
        <w:t xml:space="preserve">  </w:t>
      </w:r>
    </w:p>
    <w:p w14:paraId="6CB9C5E3" w14:textId="35C69583" w:rsidR="002E521A" w:rsidRPr="009A5F2E" w:rsidRDefault="002E521A" w:rsidP="002E521A">
      <w:pPr>
        <w:pStyle w:val="ListParagraph"/>
        <w:numPr>
          <w:ilvl w:val="0"/>
          <w:numId w:val="2"/>
        </w:numPr>
        <w:rPr>
          <w:b/>
        </w:rPr>
      </w:pPr>
      <w:r w:rsidRPr="009A5F2E">
        <w:t>Date Reviewed:</w:t>
      </w:r>
      <w:r w:rsidR="00356435">
        <w:t xml:space="preserve">  September 11, 2013</w:t>
      </w:r>
    </w:p>
    <w:p w14:paraId="0A79DDC9" w14:textId="39BCC295" w:rsidR="002E521A" w:rsidRDefault="002E521A" w:rsidP="00B55A55">
      <w:pPr>
        <w:pStyle w:val="ListParagraph"/>
        <w:numPr>
          <w:ilvl w:val="0"/>
          <w:numId w:val="2"/>
        </w:numPr>
      </w:pPr>
      <w:r>
        <w:t>Reviewed By</w:t>
      </w:r>
      <w:r w:rsidRPr="009A5F2E">
        <w:t>:</w:t>
      </w:r>
      <w:r w:rsidR="00356435">
        <w:t xml:space="preserve">  Diane Dagefoerde</w:t>
      </w:r>
      <w:r w:rsidR="0025646F">
        <w:t xml:space="preserve"> (with Allen Coleman)</w:t>
      </w:r>
      <w:bookmarkStart w:id="0" w:name="_GoBack"/>
      <w:bookmarkEnd w:id="0"/>
    </w:p>
    <w:p w14:paraId="0B42C897" w14:textId="240568DD" w:rsidR="00BD530E" w:rsidRPr="001A060A" w:rsidRDefault="00BD530E" w:rsidP="00B55A55">
      <w:pPr>
        <w:pStyle w:val="ListParagraph"/>
        <w:numPr>
          <w:ilvl w:val="0"/>
          <w:numId w:val="2"/>
        </w:numPr>
      </w:pPr>
      <w:r>
        <w:t>Comments:  Th</w:t>
      </w:r>
      <w:r w:rsidR="003D4541">
        <w:t>is could be an interesting MOOC</w:t>
      </w:r>
      <w:r w:rsidR="00335990">
        <w:t>.</w:t>
      </w:r>
    </w:p>
    <w:sectPr w:rsidR="00BD530E" w:rsidRPr="001A060A" w:rsidSect="001A060A">
      <w:pgSz w:w="2016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0B451" w14:textId="77777777" w:rsidR="00AB65D6" w:rsidRDefault="00AB65D6" w:rsidP="00162F0E">
      <w:r>
        <w:separator/>
      </w:r>
    </w:p>
  </w:endnote>
  <w:endnote w:type="continuationSeparator" w:id="0">
    <w:p w14:paraId="732E1800" w14:textId="77777777" w:rsidR="00AB65D6" w:rsidRDefault="00AB65D6" w:rsidP="0016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B029F" w14:textId="77777777" w:rsidR="00AB65D6" w:rsidRDefault="00AB65D6" w:rsidP="00162F0E">
      <w:r>
        <w:separator/>
      </w:r>
    </w:p>
  </w:footnote>
  <w:footnote w:type="continuationSeparator" w:id="0">
    <w:p w14:paraId="1885F654" w14:textId="77777777" w:rsidR="00AB65D6" w:rsidRDefault="00AB65D6" w:rsidP="00162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49C"/>
    <w:multiLevelType w:val="hybridMultilevel"/>
    <w:tmpl w:val="A4B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5E13C1"/>
    <w:multiLevelType w:val="hybridMultilevel"/>
    <w:tmpl w:val="FDBC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BB48E4"/>
    <w:multiLevelType w:val="hybridMultilevel"/>
    <w:tmpl w:val="087A7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0A"/>
    <w:rsid w:val="00162F0E"/>
    <w:rsid w:val="001A060A"/>
    <w:rsid w:val="0021239F"/>
    <w:rsid w:val="0025646F"/>
    <w:rsid w:val="002E521A"/>
    <w:rsid w:val="00335990"/>
    <w:rsid w:val="00343F30"/>
    <w:rsid w:val="00356435"/>
    <w:rsid w:val="003D4541"/>
    <w:rsid w:val="004565AC"/>
    <w:rsid w:val="00514D4F"/>
    <w:rsid w:val="005C4567"/>
    <w:rsid w:val="00703E3A"/>
    <w:rsid w:val="00725790"/>
    <w:rsid w:val="00814385"/>
    <w:rsid w:val="008E2DAC"/>
    <w:rsid w:val="009016D3"/>
    <w:rsid w:val="00924BDC"/>
    <w:rsid w:val="009333B3"/>
    <w:rsid w:val="009B55C6"/>
    <w:rsid w:val="00A6545D"/>
    <w:rsid w:val="00A733E0"/>
    <w:rsid w:val="00A777B5"/>
    <w:rsid w:val="00A93AEF"/>
    <w:rsid w:val="00AA0E2A"/>
    <w:rsid w:val="00AB65D6"/>
    <w:rsid w:val="00B06056"/>
    <w:rsid w:val="00B13A36"/>
    <w:rsid w:val="00B55A55"/>
    <w:rsid w:val="00BD530E"/>
    <w:rsid w:val="00C34FEC"/>
    <w:rsid w:val="00C61AA4"/>
    <w:rsid w:val="00C70D77"/>
    <w:rsid w:val="00C75E46"/>
    <w:rsid w:val="00DA4BAA"/>
    <w:rsid w:val="00E46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149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545D"/>
    <w:pPr>
      <w:ind w:left="720"/>
      <w:contextualSpacing/>
    </w:pPr>
  </w:style>
  <w:style w:type="paragraph" w:styleId="FootnoteText">
    <w:name w:val="footnote text"/>
    <w:basedOn w:val="Normal"/>
    <w:link w:val="FootnoteTextChar"/>
    <w:uiPriority w:val="99"/>
    <w:semiHidden/>
    <w:unhideWhenUsed/>
    <w:rsid w:val="00162F0E"/>
    <w:rPr>
      <w:sz w:val="20"/>
      <w:szCs w:val="20"/>
    </w:rPr>
  </w:style>
  <w:style w:type="character" w:customStyle="1" w:styleId="FootnoteTextChar">
    <w:name w:val="Footnote Text Char"/>
    <w:basedOn w:val="DefaultParagraphFont"/>
    <w:link w:val="FootnoteText"/>
    <w:uiPriority w:val="99"/>
    <w:semiHidden/>
    <w:rsid w:val="00162F0E"/>
    <w:rPr>
      <w:sz w:val="20"/>
      <w:szCs w:val="20"/>
    </w:rPr>
  </w:style>
  <w:style w:type="character" w:styleId="FootnoteReference">
    <w:name w:val="footnote reference"/>
    <w:basedOn w:val="DefaultParagraphFont"/>
    <w:uiPriority w:val="99"/>
    <w:semiHidden/>
    <w:unhideWhenUsed/>
    <w:rsid w:val="00162F0E"/>
    <w:rPr>
      <w:vertAlign w:val="superscript"/>
    </w:rPr>
  </w:style>
  <w:style w:type="character" w:styleId="Hyperlink">
    <w:name w:val="Hyperlink"/>
    <w:basedOn w:val="DefaultParagraphFont"/>
    <w:uiPriority w:val="99"/>
    <w:unhideWhenUsed/>
    <w:rsid w:val="00162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6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545D"/>
    <w:pPr>
      <w:ind w:left="720"/>
      <w:contextualSpacing/>
    </w:pPr>
  </w:style>
  <w:style w:type="paragraph" w:styleId="FootnoteText">
    <w:name w:val="footnote text"/>
    <w:basedOn w:val="Normal"/>
    <w:link w:val="FootnoteTextChar"/>
    <w:uiPriority w:val="99"/>
    <w:semiHidden/>
    <w:unhideWhenUsed/>
    <w:rsid w:val="00162F0E"/>
    <w:rPr>
      <w:sz w:val="20"/>
      <w:szCs w:val="20"/>
    </w:rPr>
  </w:style>
  <w:style w:type="character" w:customStyle="1" w:styleId="FootnoteTextChar">
    <w:name w:val="Footnote Text Char"/>
    <w:basedOn w:val="DefaultParagraphFont"/>
    <w:link w:val="FootnoteText"/>
    <w:uiPriority w:val="99"/>
    <w:semiHidden/>
    <w:rsid w:val="00162F0E"/>
    <w:rPr>
      <w:sz w:val="20"/>
      <w:szCs w:val="20"/>
    </w:rPr>
  </w:style>
  <w:style w:type="character" w:styleId="FootnoteReference">
    <w:name w:val="footnote reference"/>
    <w:basedOn w:val="DefaultParagraphFont"/>
    <w:uiPriority w:val="99"/>
    <w:semiHidden/>
    <w:unhideWhenUsed/>
    <w:rsid w:val="00162F0E"/>
    <w:rPr>
      <w:vertAlign w:val="superscript"/>
    </w:rPr>
  </w:style>
  <w:style w:type="character" w:styleId="Hyperlink">
    <w:name w:val="Hyperlink"/>
    <w:basedOn w:val="DefaultParagraphFont"/>
    <w:uiPriority w:val="99"/>
    <w:unhideWhenUsed/>
    <w:rsid w:val="00162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almer.4@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7951-5E5B-4E20-B70D-9DE88DFD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Dagefoerde, Diane</cp:lastModifiedBy>
  <cp:revision>12</cp:revision>
  <dcterms:created xsi:type="dcterms:W3CDTF">2013-08-27T20:28:00Z</dcterms:created>
  <dcterms:modified xsi:type="dcterms:W3CDTF">2013-09-12T12:37:00Z</dcterms:modified>
</cp:coreProperties>
</file>